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 xml:space="preserve">Пояснительная записка</w:t>
      </w:r>
      <w:r>
        <w:rPr>
          <w:rFonts w:ascii="Times New Roman" w:hAnsi="Times New Roman" w:cs="Times New Roman"/>
          <w:b/>
          <w:caps/>
          <w:sz w:val="28"/>
          <w:szCs w:val="28"/>
        </w:rPr>
      </w:r>
      <w:r>
        <w:rPr>
          <w:rFonts w:ascii="Times New Roman" w:hAnsi="Times New Roman" w:cs="Times New Roman"/>
          <w:b/>
          <w:caps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проекту решения Думы Артемовского городского округа «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О единовременном денежном поощрении главы Артемовского городского округа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eastAsia="Liberation Serif" w:cs="Liberation Serif"/>
          <w:sz w:val="28"/>
          <w:szCs w:val="28"/>
        </w:rPr>
      </w:r>
      <w:r>
        <w:rPr>
          <w:rFonts w:ascii="Liberation Serif" w:hAnsi="Liberation Serif" w:cs="Liberation Serif"/>
          <w:sz w:val="28"/>
          <w:szCs w:val="28"/>
        </w:rPr>
      </w:r>
      <w:r>
        <w:rPr>
          <w:rFonts w:ascii="Liberation Serif" w:hAnsi="Liberation Serif" w:cs="Liberation Serif"/>
          <w:sz w:val="28"/>
          <w:szCs w:val="28"/>
        </w:rPr>
      </w:r>
    </w:p>
    <w:p>
      <w:pPr>
        <w:ind w:firstLine="709"/>
        <w:jc w:val="both"/>
        <w:spacing w:after="0" w:line="360" w:lineRule="auto"/>
        <w:widowControl w:val="off"/>
        <w:rPr>
          <w:rFonts w:ascii="Liberation Serif" w:hAnsi="Liberation Serif" w:cs="Liberation Serif"/>
          <w:sz w:val="28"/>
          <w:szCs w:val="28"/>
          <w:highlight w:val="none"/>
        </w:rPr>
      </w:pPr>
      <w:r>
        <w:rPr>
          <w:rFonts w:ascii="Liberation Serif" w:hAnsi="Liberation Serif" w:eastAsia="Liberation Serif" w:cs="Liberation Serif"/>
          <w:sz w:val="28"/>
          <w:szCs w:val="28"/>
        </w:rPr>
        <w:t xml:space="preserve">Предлагаемый проект решения Думы Артемовского городского округа разработан на основании Федеральн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ого </w:t>
      </w:r>
      <w:hyperlink r:id="rId8" w:tooltip="consultantplus://offline/ref=408FEEF213D300074B9CF6D9234198F1C76DE65D39BAD92B5A63F5458FDD98E8F9F34D5B567A605F2F2B8A2D01P8KFF" w:history="1">
        <w:r>
          <w:rPr>
            <w:rFonts w:ascii="Liberation Serif" w:hAnsi="Liberation Serif" w:eastAsia="Liberation Serif" w:cs="Liberation Serif"/>
            <w:sz w:val="28"/>
            <w:szCs w:val="28"/>
          </w:rPr>
          <w:t xml:space="preserve">закон</w:t>
        </w:r>
        <w:r>
          <w:rPr>
            <w:rFonts w:ascii="Liberation Serif" w:hAnsi="Liberation Serif" w:eastAsia="Liberation Serif" w:cs="Liberation Serif"/>
            <w:sz w:val="28"/>
            <w:szCs w:val="28"/>
          </w:rPr>
          <w:t xml:space="preserve">а</w:t>
        </w:r>
      </w:hyperlink>
      <w:r>
        <w:rPr>
          <w:rFonts w:ascii="Liberation Serif" w:hAnsi="Liberation Serif" w:eastAsia="Liberation Serif" w:cs="Liberation Serif"/>
          <w:sz w:val="28"/>
          <w:szCs w:val="28"/>
        </w:rPr>
        <w:t xml:space="preserve"> от 20.03.2025 № 33-ФЗ «Об общих 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принципах организации местного самоуправления в единой системе публичной власти»,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Постановления 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Правительства Приморского края от 19.12.2024 N 878-пп 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«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О нормативах формирования расходов на содержание органов местного самоуправления городских округов, муниципальных округов и муниципальных районов Приморского края и нормативах формирования расходов на оплату труда выборных должностных лиц, осуществляющих с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вои полномочия на постоянной основе в органах местного самоуправления городских округов, муниципальных округов и муниципальных районов Приморского края, на 2025 год» </w:t>
      </w:r>
      <w:r>
        <w:rPr>
          <w:rFonts w:ascii="Liberation Serif" w:hAnsi="Liberation Serif" w:eastAsia="Liberation Serif" w:cs="Liberation Serif"/>
          <w:sz w:val="28"/>
          <w:szCs w:val="28"/>
        </w:rPr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(ред. от 08.04.2025)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, 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постановления Правительства Приморского края от 11.12.2024 № 850-пп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 «Об иных дотациях местным бюджетам в целях поощрения муниципальных образований за внедрение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 Стандарта деятельности органов местного самоуправления Приморского края по обеспечению благоприятного инвестиционного климата в Приморском крае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», 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постановления Правительства Приморского края от 20.12.2024 № 894-пп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 «Об у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тверждении распределения иных дотаций местным бюджетам в целях поощрения муниципальных образований за внедрение Стандарта деятельности орган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ов местного самоуправления Приморского края по обеспечению благоприятного инвестиционного климата в Приморском крае»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, Приказа министерства  экономического развития Приморского края от 16.12.2024 № пр.29-220 « Об утверждении сводных рейтингов муниципальных образований Приморского края соответствующих групп по результатам оценки внедрения муниципальными образованиями 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Стандарта деятельности органов местного самоуправления Приморского края по обеспечению благоприятного инвестиционного климата в Приморском крае»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, Решения Думы 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Артемовского городского округа от 26.06.2007 № 537 «О Положении об установлении оплаты труда выборных должностных лиц местного самоуправления Артемовского городского округа, депутатов Думы Артемовского городского округа, за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н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имающих должности на постоянной основе; о Положении об установлении 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оплаты труда лиц, замещающих должности муниципальной службы в органах местного самоуправления Артемовского городского округа; о Положении об установлении оплаты труда должностных лиц контр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ольно-счетной палаты Артемовского городского округа, замещающих муниципальную должность»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,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 Устава Артемовского городского округа Приморского края.</w:t>
      </w:r>
      <w:r>
        <w:rPr>
          <w:rFonts w:ascii="Liberation Serif" w:hAnsi="Liberation Serif" w:cs="Liberation Serif"/>
          <w:sz w:val="28"/>
          <w:szCs w:val="28"/>
          <w:highlight w:val="none"/>
        </w:rPr>
      </w:r>
      <w:r>
        <w:rPr>
          <w:rFonts w:ascii="Liberation Serif" w:hAnsi="Liberation Serif" w:cs="Liberation Serif"/>
          <w:sz w:val="28"/>
          <w:szCs w:val="28"/>
          <w:highlight w:val="none"/>
        </w:rPr>
      </w:r>
    </w:p>
    <w:p>
      <w:pPr>
        <w:ind w:firstLine="709"/>
        <w:jc w:val="both"/>
        <w:spacing w:after="0" w:line="360" w:lineRule="auto"/>
        <w:widowControl w:val="off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eastAsia="Liberation Serif" w:cs="Liberation Serif"/>
          <w:sz w:val="28"/>
          <w:szCs w:val="28"/>
          <w:highlight w:val="none"/>
        </w:rPr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Учитывая высокие результаты оценки 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внедрения 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Стандарта деятельности органов местного самоуправления Приморского края по обеспечению бла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гоприятного инвестиционного климата в Приморском крае</w:t>
      </w:r>
      <w:r>
        <w:rPr>
          <w:rFonts w:ascii="Liberation Serif" w:hAnsi="Liberation Serif" w:eastAsia="Liberation Serif" w:cs="Liberation Serif"/>
          <w:color w:val="000000" w:themeColor="text1"/>
          <w:sz w:val="28"/>
          <w:szCs w:val="28"/>
          <w:highlight w:val="none"/>
        </w:rPr>
        <w:t xml:space="preserve">, достигнутые Артёмовским городским округом, предлагается 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осуществить выплату </w:t>
      </w:r>
      <w:r>
        <w:rPr>
          <w:rFonts w:ascii="Liberation Serif" w:hAnsi="Liberation Serif" w:eastAsia="Liberation Serif" w:cs="Liberation Serif"/>
          <w:color w:val="auto"/>
          <w:sz w:val="28"/>
          <w:szCs w:val="28"/>
          <w:highlight w:val="white"/>
        </w:rPr>
        <w:t xml:space="preserve">главе </w:t>
      </w:r>
      <w:r>
        <w:rPr>
          <w:rFonts w:ascii="Liberation Serif" w:hAnsi="Liberation Serif" w:eastAsia="Liberation Serif" w:cs="Liberation Serif"/>
          <w:sz w:val="28"/>
          <w:szCs w:val="28"/>
          <w:highlight w:val="white"/>
        </w:rPr>
        <w:t xml:space="preserve">Артёмовского городского окру</w:t>
      </w:r>
      <w:r>
        <w:rPr>
          <w:rFonts w:ascii="Liberation Serif" w:hAnsi="Liberation Serif" w:eastAsia="Liberation Serif" w:cs="Liberation Serif"/>
          <w:sz w:val="28"/>
          <w:szCs w:val="28"/>
          <w:highlight w:val="white"/>
        </w:rPr>
        <w:t xml:space="preserve">га</w:t>
      </w:r>
      <w:r>
        <w:rPr>
          <w:rFonts w:ascii="Liberation Serif" w:hAnsi="Liberation Serif" w:eastAsia="Liberation Serif" w:cs="Liberation Serif"/>
          <w:color w:val="ff0000"/>
          <w:sz w:val="28"/>
          <w:szCs w:val="28"/>
          <w:highlight w:val="white"/>
        </w:rPr>
        <w:t xml:space="preserve"> </w:t>
      </w:r>
      <w:r>
        <w:rPr>
          <w:rFonts w:ascii="Liberation Serif" w:hAnsi="Liberation Serif" w:eastAsia="Liberation Serif" w:cs="Liberation Serif"/>
          <w:color w:val="auto"/>
          <w:sz w:val="28"/>
          <w:szCs w:val="28"/>
          <w:highlight w:val="white"/>
        </w:rPr>
        <w:t xml:space="preserve">в размере, </w:t>
      </w:r>
      <w:r>
        <w:rPr>
          <w:rFonts w:ascii="Liberation Serif" w:hAnsi="Liberation Serif" w:eastAsia="Liberation Serif" w:cs="Liberation Serif"/>
          <w:color w:val="auto"/>
          <w:sz w:val="28"/>
          <w:szCs w:val="28"/>
          <w:highlight w:val="none"/>
        </w:rPr>
        <w:t xml:space="preserve">н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е превышающем его месячного денежного содержания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, в пределах норматива, установленного 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Постановлением 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Правительства Приморского края от 19.12.2024 N 878-пп 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«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О нормативах формирования расходов на содержание органов местного самоуправления городских округов, муниципальных округов и муниципальных районов Приморского края и нормативах формирования расходов на оплату труда выборных должностных лиц, осуществляющих с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вои полномочия на постоянной основе в органах местного самоуправления городских округов, муниципальных округов и муниципальных районов Приморского края, на 2025 год»</w:t>
      </w:r>
      <w:r>
        <w:rPr>
          <w:rFonts w:ascii="Liberation Serif" w:hAnsi="Liberation Serif" w:eastAsia="Liberation Serif" w:cs="Liberation Serif"/>
          <w:sz w:val="28"/>
          <w:szCs w:val="28"/>
          <w:highlight w:val="none"/>
        </w:rPr>
      </w:r>
      <w:r>
        <w:rPr>
          <w:rFonts w:ascii="Liberation Serif" w:hAnsi="Liberation Serif" w:eastAsia="Liberation Serif" w:cs="Liberation Serif"/>
          <w:sz w:val="28"/>
          <w:szCs w:val="28"/>
          <w:highlight w:val="none"/>
        </w:rPr>
        <w:t xml:space="preserve"> (ред. от 08.04.2025)</w:t>
      </w:r>
      <w:r>
        <w:rPr>
          <w:rFonts w:ascii="Liberation Serif" w:hAnsi="Liberation Serif" w:eastAsia="Liberation Serif" w:cs="Liberation Serif"/>
          <w:sz w:val="28"/>
          <w:szCs w:val="28"/>
          <w:highlight w:val="none"/>
        </w:rPr>
        <w:t xml:space="preserve">.</w:t>
      </w:r>
      <w:r>
        <w:rPr>
          <w:rFonts w:ascii="Liberation Serif" w:hAnsi="Liberation Serif" w:cs="Liberation Serif"/>
          <w:sz w:val="28"/>
          <w:szCs w:val="28"/>
        </w:rPr>
      </w:r>
      <w:r>
        <w:rPr>
          <w:rFonts w:ascii="Liberation Serif" w:hAnsi="Liberation Serif" w:cs="Liberation Serif"/>
          <w:sz w:val="28"/>
          <w:szCs w:val="28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Times New Roman">
    <w:panose1 w:val="02020603050405020304"/>
  </w:font>
  <w:font w:name="Segoe UI">
    <w:panose1 w:val="020B0502040504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2"/>
    <w:next w:val="832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3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2"/>
    <w:next w:val="832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3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2"/>
    <w:next w:val="832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3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3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3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3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3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3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3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2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2"/>
    <w:next w:val="832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3"/>
    <w:link w:val="674"/>
    <w:uiPriority w:val="10"/>
    <w:rPr>
      <w:sz w:val="48"/>
      <w:szCs w:val="48"/>
    </w:rPr>
  </w:style>
  <w:style w:type="paragraph" w:styleId="676">
    <w:name w:val="Subtitle"/>
    <w:basedOn w:val="832"/>
    <w:next w:val="832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3"/>
    <w:link w:val="676"/>
    <w:uiPriority w:val="11"/>
    <w:rPr>
      <w:sz w:val="24"/>
      <w:szCs w:val="24"/>
    </w:rPr>
  </w:style>
  <w:style w:type="paragraph" w:styleId="678">
    <w:name w:val="Quote"/>
    <w:basedOn w:val="832"/>
    <w:next w:val="832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2"/>
    <w:next w:val="832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2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3"/>
    <w:link w:val="682"/>
    <w:uiPriority w:val="99"/>
  </w:style>
  <w:style w:type="paragraph" w:styleId="684">
    <w:name w:val="Footer"/>
    <w:basedOn w:val="832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3"/>
    <w:link w:val="684"/>
    <w:uiPriority w:val="99"/>
  </w:style>
  <w:style w:type="paragraph" w:styleId="686">
    <w:name w:val="Caption"/>
    <w:basedOn w:val="832"/>
    <w:next w:val="83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"/>
    <w:basedOn w:val="8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8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9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90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1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2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3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5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6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7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8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9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0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2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3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4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5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6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7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basedOn w:val="833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basedOn w:val="833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  <w:style w:type="paragraph" w:styleId="836">
    <w:name w:val="Balloon Text"/>
    <w:basedOn w:val="832"/>
    <w:link w:val="837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37" w:customStyle="1">
    <w:name w:val="Текст выноски Знак"/>
    <w:basedOn w:val="833"/>
    <w:link w:val="836"/>
    <w:uiPriority w:val="99"/>
    <w:semiHidden/>
    <w:rPr>
      <w:rFonts w:ascii="Segoe UI" w:hAnsi="Segoe UI" w:cs="Segoe UI"/>
      <w:sz w:val="18"/>
      <w:szCs w:val="18"/>
    </w:rPr>
  </w:style>
  <w:style w:type="paragraph" w:styleId="838" w:customStyle="1">
    <w:name w:val="Основной текст с отступом 2"/>
    <w:pPr>
      <w:contextualSpacing w:val="0"/>
      <w:ind w:left="283" w:right="0" w:firstLine="0"/>
      <w:jc w:val="left"/>
      <w:keepLines w:val="0"/>
      <w:keepNext w:val="0"/>
      <w:pageBreakBefore w:val="0"/>
      <w:spacing w:before="0" w:beforeAutospacing="0" w:after="120" w:afterAutospacing="0" w:line="48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consultantplus://offline/ref=408FEEF213D300074B9CF6D9234198F1C76DE65D39BAD92B5A63F5458FDD98E8F9F34D5B567A605F2F2B8A2D01P8KFF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Р7-Офис/2024.3.2.551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Мироненко Олеся Александровна</dc:creator>
  <cp:keywords/>
  <dc:description/>
  <cp:revision>13</cp:revision>
  <dcterms:created xsi:type="dcterms:W3CDTF">2023-12-13T05:49:00Z</dcterms:created>
  <dcterms:modified xsi:type="dcterms:W3CDTF">2025-07-22T07:54:06Z</dcterms:modified>
</cp:coreProperties>
</file>